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AI Harness Telemetry to SIEM</w:t>
      </w:r>
    </w:p>
    <w:p>
      <w:pPr>
        <w:pStyle w:val="Heading2"/>
      </w:pPr>
      <w:r>
        <w:t xml:space="preserve">Component field map for AI-DDR / MDR correlation, drift and AI-attack detection</w:t>
      </w:r>
    </w:p>
    <w:p>
      <w:pPr/>
      <w:r>
        <w:t xml:space="preserve">Oct 27, 2026</w:t>
      </w:r>
      <w:r>
        <w:t xml:space="preserve"> · </w:t>
      </w:r>
      <w:r>
        <w:t xml:space="preserve">@Richie Rich</w:t>
      </w:r>
    </w:p>
    <w:p>
      <w:pPr>
        <w:pStyle w:val="Heading2"/>
      </w:pPr>
      <w:r>
        <w:t xml:space="preserve">Document control</w:t>
      </w:r>
    </w:p>
    <w:tbl>
      <w:tblPr>
        <w:tblStyle w:val="TableGrid"/>
        <w:tblW w:w="0" w:type="auto"/>
        <w:tblLayout w:type="fixed"/>
        <w:tblLook w:val="04A0" w:firstRow="1" w:lastRow="0" w:firstColumn="0" w:lastColumn="0" w:noHBand="0" w:noVBand="1"/>
      </w:tblPr>
      <w:tblGrid>
        <w:gridCol w:w="3011"/>
        <w:gridCol w:w="6348"/>
      </w:tblGrid>
      <w:tr>
        <w:trPr>
          <w:tblHeader/>
        </w:trPr>
        <w:tc>
          <w:tcPr>
            <w:tcW w:w="3011" w:type="dxa"/>
            <w:shd w:val="clear" w:color="auto" w:fill="F2F2F2"/>
          </w:tcPr>
          <w:p>
            <w:pPr/>
            <w:r>
              <w:t xml:space="preserve">Field</w:t>
            </w:r>
          </w:p>
        </w:tc>
        <w:tc>
          <w:tcPr>
            <w:tcW w:w="6348" w:type="dxa"/>
            <w:shd w:val="clear" w:color="auto" w:fill="F2F2F2"/>
          </w:tcPr>
          <w:p>
            <w:pPr/>
            <w:r>
              <w:t xml:space="preserve">Value</w:t>
            </w:r>
          </w:p>
        </w:tc>
      </w:tr>
      <w:tr>
        <w:tc>
          <w:tcPr>
            <w:tcW w:w="3011" w:type="dxa"/>
          </w:tcPr>
          <w:p>
            <w:pPr/>
            <w:r>
              <w:t xml:space="preserve">Version</w:t>
            </w:r>
          </w:p>
        </w:tc>
        <w:tc>
          <w:tcPr>
            <w:tcW w:w="6348" w:type="dxa"/>
          </w:tcPr>
          <w:p>
            <w:pPr/>
            <w:r>
              <w:t xml:space="preserve">1.0</w:t>
            </w:r>
          </w:p>
        </w:tc>
      </w:tr>
      <w:tr>
        <w:tc>
          <w:tcPr>
            <w:tcW w:w="3011" w:type="dxa"/>
          </w:tcPr>
          <w:p>
            <w:pPr/>
            <w:r>
              <w:t xml:space="preserve">Date</w:t>
            </w:r>
          </w:p>
        </w:tc>
        <w:tc>
          <w:tcPr>
            <w:tcW w:w="6348" w:type="dxa"/>
          </w:tcPr>
          <w:p>
            <w:pPr/>
            <w:r>
              <w:t xml:space="preserve">27 October 2026</w:t>
            </w:r>
          </w:p>
        </w:tc>
      </w:tr>
      <w:tr>
        <w:tc>
          <w:tcPr>
            <w:tcW w:w="3011" w:type="dxa"/>
          </w:tcPr>
          <w:p>
            <w:pPr/>
            <w:r>
              <w:t xml:space="preserve">Author</w:t>
            </w:r>
          </w:p>
        </w:tc>
        <w:tc>
          <w:tcPr>
            <w:tcW w:w="6348" w:type="dxa"/>
          </w:tcPr>
          <w:p>
            <w:pPr/>
            <w:r>
              <w:t xml:space="preserve">Richard E. Davis — Davis AI Governance (davisaigov.ai), Davis &amp; Associates Advisory, LLC</w:t>
            </w:r>
          </w:p>
        </w:tc>
      </w:tr>
      <w:tr>
        <w:tc>
          <w:tcPr>
            <w:tcW w:w="3011" w:type="dxa"/>
          </w:tcPr>
          <w:p>
            <w:pPr/>
            <w:r>
              <w:t xml:space="preserve">Derived from</w:t>
            </w:r>
          </w:p>
        </w:tc>
        <w:tc>
          <w:tcPr>
            <w:tcW w:w="6348" w:type="dxa"/>
          </w:tcPr>
          <w:p>
            <w:pPr/>
            <w:r>
              <w:t xml:space="preserve">DavisAIgov AI Harness Reference Model v13.5.1 (26 October 2026): Inter-Agentic Threat Map v13.4 field data dictionary (206 fields), component exploitation map and Elastic Security rulebook; AI Harness telemetry and lifecycle evidence note (reviewed 15 October 2026)</w:t>
            </w:r>
          </w:p>
        </w:tc>
      </w:tr>
      <w:tr>
        <w:tc>
          <w:tcPr>
            <w:tcW w:w="3011" w:type="dxa"/>
          </w:tcPr>
          <w:p>
            <w:pPr/>
            <w:r>
              <w:t xml:space="preserve">Status</w:t>
            </w:r>
          </w:p>
        </w:tc>
        <w:tc>
          <w:tcPr>
            <w:tcW w:w="6348" w:type="dxa"/>
          </w:tcPr>
          <w:p>
            <w:pPr/>
            <w:r>
              <w:t xml:space="preserve">Working reference; the rules are engineering templates, not deployed detections</w:t>
            </w:r>
          </w:p>
        </w:tc>
      </w:tr>
      <w:tr>
        <w:tc>
          <w:tcPr>
            <w:tcW w:w="3011" w:type="dxa"/>
          </w:tcPr>
          <w:p>
            <w:pPr/>
            <w:r>
              <w:t xml:space="preserve">Source conversation</w:t>
            </w:r>
          </w:p>
        </w:tc>
        <w:tc>
          <w:tcPr>
            <w:tcW w:w="6348" w:type="dxa"/>
          </w:tcPr>
          <w:p>
            <w:pPr/>
            <w:r>
              <w:t xml:space="preserve">Author working notes, 27 October 2026</w:t>
            </w:r>
          </w:p>
        </w:tc>
      </w:tr>
    </w:tbl>
    <w:p/>
    <w:tbl>
      <w:tblPr>
        <w:tblStyle w:val="TableGrid"/>
        <w:tblW w:w="0" w:type="auto"/>
        <w:tblLayout w:type="fixed"/>
        <w:tblLook w:val="04A0" w:firstRow="1" w:lastRow="0" w:firstColumn="0" w:lastColumn="0" w:noHBand="0" w:noVBand="1"/>
      </w:tblPr>
      <w:tblGrid>
        <w:gridCol w:w="1318"/>
        <w:gridCol w:w="1726"/>
        <w:gridCol w:w="6315"/>
      </w:tblGrid>
      <w:tr>
        <w:trPr>
          <w:tblHeader/>
        </w:trPr>
        <w:tc>
          <w:tcPr>
            <w:tcW w:w="1318" w:type="dxa"/>
            <w:shd w:val="clear" w:color="auto" w:fill="F2F2F2"/>
          </w:tcPr>
          <w:p>
            <w:pPr/>
            <w:r>
              <w:t xml:space="preserve">Version</w:t>
            </w:r>
          </w:p>
        </w:tc>
        <w:tc>
          <w:tcPr>
            <w:tcW w:w="1726" w:type="dxa"/>
            <w:shd w:val="clear" w:color="auto" w:fill="F2F2F2"/>
          </w:tcPr>
          <w:p>
            <w:pPr/>
            <w:r>
              <w:t xml:space="preserve">Date</w:t>
            </w:r>
          </w:p>
        </w:tc>
        <w:tc>
          <w:tcPr>
            <w:tcW w:w="6315" w:type="dxa"/>
            <w:shd w:val="clear" w:color="auto" w:fill="F2F2F2"/>
          </w:tcPr>
          <w:p>
            <w:pPr/>
            <w:r>
              <w:t xml:space="preserve">Change</w:t>
            </w:r>
          </w:p>
        </w:tc>
      </w:tr>
      <w:tr>
        <w:tc>
          <w:tcPr>
            <w:tcW w:w="1318" w:type="dxa"/>
          </w:tcPr>
          <w:p>
            <w:pPr/>
            <w:r>
              <w:t xml:space="preserve">1.0</w:t>
            </w:r>
          </w:p>
        </w:tc>
        <w:tc>
          <w:tcPr>
            <w:tcW w:w="1726" w:type="dxa"/>
          </w:tcPr>
          <w:p>
            <w:pPr/>
            <w:r>
              <w:t xml:space="preserve">2026-10-27</w:t>
            </w:r>
          </w:p>
        </w:tc>
        <w:tc>
          <w:tcPr>
            <w:tcW w:w="6315" w:type="dxa"/>
          </w:tcPr>
          <w:p>
            <w:pPr/>
            <w:r>
              <w:t xml:space="preserve">Initial issue: 19-component map of standard and custom telemetry to SIEM, with producer, correlation use, threat classes and draft rule per component</w:t>
            </w:r>
          </w:p>
        </w:tc>
      </w:tr>
    </w:tbl>
    <w:p>
      <w:pPr>
        <w:pStyle w:val="Heading2"/>
      </w:pPr>
      <w:r>
        <w:t xml:space="preserve">How to read the table</w:t>
      </w:r>
    </w:p>
    <w:p>
      <w:pPr/>
      <w:r>
        <w:t xml:space="preserve">Every row answers five questions for one harness component: which standard fields (OpenTelemetry GenAI semantic conventions, Elastic Common Schema, OpenTelemetry resource attributes) carry its operational telemetry; which custom assurance fields in the practical_trust.* namespace carry the control evidence the standard does not define; which producer, independent of the agent, is authoritative for that evidence; what the AI-DDR / MDR analyst correlates it for (deviation from the approved baseline, behavioural drift, or an AI-targeted attack); and which MITRE ATLAS and OWASP classes and draft Elastic Security rule the row maps to.</w:t>
      </w:r>
    </w:p>
    <w:p>
      <w:pPr/>
      <w:r>
        <w:t xml:space="preserve">Three rules from the reference model govern the whole table. First, gen_ai.* fields identify AI operations and trace relationships; independent practical_trust.* evidence is required for a security verdict. Second, evidence must be produced by the gate, the dispatcher, the registry or the target system, never reported by the model or the orchestrator about itself; an agent that is its own witness is not auditable. Third, a missing or anomalous field is an evidence gap to investigate, not a finding of misconduct. The practical_trust.* namespace is the reference model's proposed assurance schema; it is not an official OpenTelemetry convention, and the GenAI conventions it joins to remain in development status.</w:t>
      </w:r>
    </w:p>
    <w:p>
      <w:pPr>
        <w:pStyle w:val="Heading2"/>
      </w:pPr>
      <w:r>
        <w:t xml:space="preserve">Envelope fields on every event</w:t>
      </w:r>
    </w:p>
    <w:p>
      <w:pPr/>
      <w:r>
        <w:t xml:space="preserve">These fields ride on every harness event regardless of component. They are what makes cross-vendor correlation possible: the trace and task identifiers join a Nuix Neo retrieval span to a gateway decision, a credential issuance and a system-of-record audit entry in the same SIEM query.</w:t>
      </w:r>
    </w:p>
    <w:tbl>
      <w:tblPr>
        <w:tblStyle w:val="TableGrid"/>
        <w:tblW w:w="0" w:type="auto"/>
        <w:tblLayout w:type="fixed"/>
        <w:tblLook w:val="04A0" w:firstRow="1" w:lastRow="0" w:firstColumn="0" w:lastColumn="0" w:noHBand="0" w:noVBand="1"/>
      </w:tblPr>
      <w:tblGrid>
        <w:gridCol w:w="1741"/>
        <w:gridCol w:w="2650"/>
        <w:gridCol w:w="1424"/>
        <w:gridCol w:w="3545"/>
      </w:tblGrid>
      <w:tr>
        <w:trPr>
          <w:tblHeader/>
        </w:trPr>
        <w:tc>
          <w:tcPr>
            <w:tcW w:w="1741" w:type="dxa"/>
            <w:shd w:val="clear" w:color="auto" w:fill="F2F2F2"/>
          </w:tcPr>
          <w:p>
            <w:pPr/>
            <w:r>
              <w:t xml:space="preserve">Namespace</w:t>
            </w:r>
          </w:p>
        </w:tc>
        <w:tc>
          <w:tcPr>
            <w:tcW w:w="2650" w:type="dxa"/>
            <w:shd w:val="clear" w:color="auto" w:fill="F2F2F2"/>
          </w:tcPr>
          <w:p>
            <w:pPr/>
            <w:r>
              <w:t xml:space="preserve">Fields</w:t>
            </w:r>
          </w:p>
        </w:tc>
        <w:tc>
          <w:tcPr>
            <w:tcW w:w="1424" w:type="dxa"/>
            <w:shd w:val="clear" w:color="auto" w:fill="F2F2F2"/>
          </w:tcPr>
          <w:p>
            <w:pPr/>
            <w:r>
              <w:t xml:space="preserve">Producer</w:t>
            </w:r>
          </w:p>
        </w:tc>
        <w:tc>
          <w:tcPr>
            <w:tcW w:w="3545" w:type="dxa"/>
            <w:shd w:val="clear" w:color="auto" w:fill="F2F2F2"/>
          </w:tcPr>
          <w:p>
            <w:pPr/>
            <w:r>
              <w:t xml:space="preserve">Role in correlation</w:t>
            </w:r>
          </w:p>
        </w:tc>
      </w:tr>
      <w:tr>
        <w:tc>
          <w:tcPr>
            <w:tcW w:w="1741" w:type="dxa"/>
          </w:tcPr>
          <w:p>
            <w:pPr/>
            <w:r>
              <w:t xml:space="preserve">Elastic Common Schema</w:t>
            </w:r>
          </w:p>
        </w:tc>
        <w:tc>
          <w:tcPr>
            <w:tcW w:w="2650" w:type="dxa"/>
          </w:tcPr>
          <w:p>
            <w:pPr/>
            <w:r>
              <w:t xml:space="preserve">@timestamp, event.id, event.dataset (ai_harness.control), event.action, event.kind, event.category, event.type, event.outcome, event.ingested, event.original, data_stream.type / dataset / namespace, service.name, service.version, user.id, host.name, source.ip, destination.ip, url.domain</w:t>
            </w:r>
          </w:p>
        </w:tc>
        <w:tc>
          <w:tcPr>
            <w:tcW w:w="1424" w:type="dxa"/>
          </w:tcPr>
          <w:p>
            <w:pPr/>
            <w:r>
              <w:t xml:space="preserve">OTel / ECS ingest or source</w:t>
            </w:r>
          </w:p>
        </w:tc>
        <w:tc>
          <w:tcPr>
            <w:tcW w:w="3545" w:type="dxa"/>
          </w:tcPr>
          <w:p>
            <w:pPr/>
            <w:r>
              <w:t xml:space="preserve">Normalised routing into the ai_harness.control data stream; event.action carries the contract stage (policy_decided, credential_issued, context_assembled, guardrail_evaluated, oversight_decided); outcome and category feed standard SIEM analytics</w:t>
            </w:r>
          </w:p>
        </w:tc>
      </w:tr>
      <w:tr>
        <w:tc>
          <w:tcPr>
            <w:tcW w:w="1741" w:type="dxa"/>
          </w:tcPr>
          <w:p>
            <w:pPr/>
            <w:r>
              <w:t xml:space="preserve">ECS trace linkage</w:t>
            </w:r>
          </w:p>
        </w:tc>
        <w:tc>
          <w:tcPr>
            <w:tcW w:w="2650" w:type="dxa"/>
          </w:tcPr>
          <w:p>
            <w:pPr/>
            <w:r>
              <w:t xml:space="preserve">trace.id, span.id</w:t>
            </w:r>
          </w:p>
        </w:tc>
        <w:tc>
          <w:tcPr>
            <w:tcW w:w="1424" w:type="dxa"/>
          </w:tcPr>
          <w:p>
            <w:pPr/>
            <w:r>
              <w:t xml:space="preserve">OTel / ECS ingest or source</w:t>
            </w:r>
          </w:p>
        </w:tc>
        <w:tc>
          <w:tcPr>
            <w:tcW w:w="3545" w:type="dxa"/>
          </w:tcPr>
          <w:p>
            <w:pPr/>
            <w:r>
              <w:t xml:space="preserve">Joins observations across producers and vendors; the reference model stresses that a trace ID connects observations but does not authenticate a person or prove an outcome</w:t>
            </w:r>
          </w:p>
        </w:tc>
      </w:tr>
      <w:tr>
        <w:tc>
          <w:tcPr>
            <w:tcW w:w="1741" w:type="dxa"/>
          </w:tcPr>
          <w:p>
            <w:pPr/>
            <w:r>
              <w:t xml:space="preserve">OTel resource</w:t>
            </w:r>
          </w:p>
        </w:tc>
        <w:tc>
          <w:tcPr>
            <w:tcW w:w="2650" w:type="dxa"/>
          </w:tcPr>
          <w:p>
            <w:pPr/>
            <w:r>
              <w:t xml:space="preserve">deployment.environment.name, telemetry.sdk.name, telemetry.sdk.version, error.type</w:t>
            </w:r>
          </w:p>
        </w:tc>
        <w:tc>
          <w:tcPr>
            <w:tcW w:w="1424" w:type="dxa"/>
          </w:tcPr>
          <w:p>
            <w:pPr/>
            <w:r>
              <w:t xml:space="preserve">Application / OTel SDK</w:t>
            </w:r>
          </w:p>
        </w:tc>
        <w:tc>
          <w:tcPr>
            <w:tcW w:w="3545" w:type="dxa"/>
          </w:tcPr>
          <w:p>
            <w:pPr/>
            <w:r>
              <w:t xml:space="preserve">Distinguishes production from non-production identities (a 6.11 signal) and pins the instrumentation version that must be recorded with any rule</w:t>
            </w:r>
          </w:p>
        </w:tc>
      </w:tr>
      <w:tr>
        <w:tc>
          <w:tcPr>
            <w:tcW w:w="1741" w:type="dxa"/>
          </w:tcPr>
          <w:p>
            <w:pPr/>
            <w:r>
              <w:t xml:space="preserve">practical_trust (task context)</w:t>
            </w:r>
          </w:p>
        </w:tc>
        <w:tc>
          <w:tcPr>
            <w:tcW w:w="2650" w:type="dxa"/>
          </w:tcPr>
          <w:p>
            <w:pPr/>
            <w:r>
              <w:t xml:space="preserve">practical_trust.schema.version, practical_trust.component.id, practical_trust.rule.id, practical_trust.verdict, practical_trust.task.id, practical_trust.task.family_id, practical_trust.task.purpose, practical_trust.task.consequence_class</w:t>
            </w:r>
          </w:p>
        </w:tc>
        <w:tc>
          <w:tcPr>
            <w:tcW w:w="1424" w:type="dxa"/>
          </w:tcPr>
          <w:p>
            <w:pPr/>
            <w:r>
              <w:t xml:space="preserve">Schema registry; asset registry; detection-engineering registry; trusted task registry; trusted evidence verifier</w:t>
            </w:r>
          </w:p>
        </w:tc>
        <w:tc>
          <w:tcPr>
            <w:tcW w:w="3545" w:type="dxa"/>
          </w:tcPr>
          <w:p>
            <w:pPr/>
            <w:r>
              <w:t xml:space="preserve">component.id routes the event to its rule; task.family_id is what lets a shared budget and a delegation chain be reconciled across child agents and retries; consequence_class is the materiality switch that decides whether a gate decision and human approval were required at all</w:t>
            </w:r>
          </w:p>
        </w:tc>
      </w:tr>
    </w:tbl>
    <w:p>
      <w:pPr>
        <w:pStyle w:val="Heading2"/>
      </w:pPr>
      <w:r>
        <w:t xml:space="preserve">Component telemetry to SIEM</w:t>
      </w:r>
    </w:p>
    <w:p>
      <w:pPr/>
      <w:r>
        <w:t xml:space="preserve">Ordered by harness plane. The standard column lists the OpenTelemetry GenAI fields that apply to the component; the custom column lists the practical_trust.* assurance fields the dictionary assigns to it; the producer column names who must emit that evidence for it to count. The correlation column is written for the AI-DDR / MDR analyst: D marks deviation from the approved baseline, B marks behavioural drift, A marks an AI-targeted attack signal.</w:t>
      </w:r>
    </w:p>
    <w:tbl>
      <w:tblPr>
        <w:tblStyle w:val="TableGrid"/>
        <w:tblW w:w="0" w:type="auto"/>
        <w:tblLayout w:type="fixed"/>
        <w:tblLook w:val="04A0" w:firstRow="1" w:lastRow="0" w:firstColumn="0" w:lastColumn="0" w:noHBand="0" w:noVBand="1"/>
      </w:tblPr>
      <w:tblGrid>
        <w:gridCol w:w="1337"/>
        <w:gridCol w:w="1337"/>
        <w:gridCol w:w="1337"/>
        <w:gridCol w:w="1337"/>
        <w:gridCol w:w="1337"/>
        <w:gridCol w:w="1337"/>
        <w:gridCol w:w="1337"/>
      </w:tblGrid>
      <w:tr>
        <w:trPr>
          <w:tblHeader/>
        </w:trPr>
        <w:tc>
          <w:tcPr>
            <w:tcW w:w="1337" w:type="dxa"/>
            <w:shd w:val="clear" w:color="auto" w:fill="F2F2F2"/>
          </w:tcPr>
          <w:p>
            <w:pPr/>
            <w:r>
              <w:t xml:space="preserve">Component</w:t>
            </w:r>
          </w:p>
        </w:tc>
        <w:tc>
          <w:tcPr>
            <w:tcW w:w="1337" w:type="dxa"/>
            <w:shd w:val="clear" w:color="auto" w:fill="F2F2F2"/>
          </w:tcPr>
          <w:p>
            <w:pPr/>
            <w:r>
              <w:t xml:space="preserve">Standard fields (OTel GenAI / ECS)</w:t>
            </w:r>
          </w:p>
        </w:tc>
        <w:tc>
          <w:tcPr>
            <w:tcW w:w="1337" w:type="dxa"/>
            <w:shd w:val="clear" w:color="auto" w:fill="F2F2F2"/>
          </w:tcPr>
          <w:p>
            <w:pPr/>
            <w:r>
              <w:t xml:space="preserve">Custom assurance fields (practical_trust.*)</w:t>
            </w:r>
          </w:p>
        </w:tc>
        <w:tc>
          <w:tcPr>
            <w:tcW w:w="1337" w:type="dxa"/>
            <w:shd w:val="clear" w:color="auto" w:fill="F2F2F2"/>
          </w:tcPr>
          <w:p>
            <w:pPr/>
            <w:r>
              <w:t xml:space="preserve">Authoritative producer</w:t>
            </w:r>
          </w:p>
        </w:tc>
        <w:tc>
          <w:tcPr>
            <w:tcW w:w="1337" w:type="dxa"/>
            <w:shd w:val="clear" w:color="auto" w:fill="F2F2F2"/>
          </w:tcPr>
          <w:p>
            <w:pPr/>
            <w:r>
              <w:t xml:space="preserve">AI-DDR / MDR correlation use</w:t>
            </w:r>
          </w:p>
        </w:tc>
        <w:tc>
          <w:tcPr>
            <w:tcW w:w="1337" w:type="dxa"/>
            <w:shd w:val="clear" w:color="auto" w:fill="F2F2F2"/>
          </w:tcPr>
          <w:p>
            <w:pPr/>
            <w:r>
              <w:t xml:space="preserve">Threat classes (MITRE ATLAS / OWASP)</w:t>
            </w:r>
          </w:p>
        </w:tc>
        <w:tc>
          <w:tcPr>
            <w:tcW w:w="1337" w:type="dxa"/>
            <w:shd w:val="clear" w:color="auto" w:fill="F2F2F2"/>
          </w:tcPr>
          <w:p>
            <w:pPr/>
            <w:r>
              <w:t xml:space="preserve">Draft Elastic rule</w:t>
            </w:r>
          </w:p>
        </w:tc>
      </w:tr>
      <w:tr>
        <w:tc>
          <w:tcPr>
            <w:tcW w:w="1337" w:type="dxa"/>
          </w:tcPr>
          <w:p>
            <w:pPr/>
            <w:r>
              <w:rPr>
                <w:b/>
              </w:rPr>
              <w:t xml:space="preserve">6.00 Generative model</w:t>
            </w:r>
            <w:r>
              <w:t xml:space="preserve"> (core)</w:t>
            </w:r>
          </w:p>
        </w:tc>
        <w:tc>
          <w:tcPr>
            <w:tcW w:w="1337" w:type="dxa"/>
          </w:tcPr>
          <w:p>
            <w:pPr/>
            <w:r>
              <w:t xml:space="preserve">gen_ai.operation.name, gen_ai.provider.name, gen_ai.request.model, gen_ai.response.model, gen_ai.request.temperature / max_tokens / stream, gen_ai.usage.input_tokens / output_tokens / reasoning.output_tokens / cache_read.input_tokens, gen_ai.evaluation.result event (name, score.value, score.label, explanation)</w:t>
            </w:r>
          </w:p>
        </w:tc>
        <w:tc>
          <w:tcPr>
            <w:tcW w:w="1337" w:type="dxa"/>
          </w:tcPr>
          <w:p>
            <w:pPr/>
            <w:r>
              <w:t xml:space="preserve">model.approved, model.approval_ref, model.resolved_deployment</w:t>
            </w:r>
          </w:p>
        </w:tc>
        <w:tc>
          <w:tcPr>
            <w:tcW w:w="1337" w:type="dxa"/>
          </w:tcPr>
          <w:p>
            <w:pPr/>
            <w:r>
              <w:t xml:space="preserve">Model gateway plus signed deployment registry (not the SDK's self-reported model string)</w:t>
            </w:r>
          </w:p>
        </w:tc>
        <w:tc>
          <w:tcPr>
            <w:tcW w:w="1337" w:type="dxa"/>
          </w:tcPr>
          <w:p>
            <w:pPr/>
            <w:r>
              <w:t xml:space="preserve">D: requested or responding model outside the approved mapping (lead R1); B: finish-reason and token-distribution shift (R7); A: jailbreak and system-prompt extraction attempts seen as eval-threshold failures. Token counts never establish correctness or conformance</w:t>
            </w:r>
          </w:p>
        </w:tc>
        <w:tc>
          <w:tcPr>
            <w:tcW w:w="1337" w:type="dxa"/>
          </w:tcPr>
          <w:p>
            <w:pPr/>
            <w:r>
              <w:t xml:space="preserve">AML.T0054 jailbreak, T0057 LLM data leakage, T0056 extract system prompt, T0060 hallucinated entities; ASI01; LLM07, LLM09, LLM10</w:t>
            </w:r>
          </w:p>
        </w:tc>
        <w:tc>
          <w:tcPr>
            <w:tcW w:w="1337" w:type="dxa"/>
          </w:tcPr>
          <w:p>
            <w:pPr/>
            <w:r>
              <w:t xml:space="preserve">HB-AI-600: model.approved false or eval.threshold_status fail</w:t>
            </w:r>
          </w:p>
        </w:tc>
      </w:tr>
      <w:tr>
        <w:tc>
          <w:tcPr>
            <w:tcW w:w="1337" w:type="dxa"/>
          </w:tcPr>
          <w:p>
            <w:pPr/>
            <w:r>
              <w:rPr>
                <w:b/>
              </w:rPr>
              <w:t xml:space="preserve">6.01 Inputs and external content</w:t>
            </w:r>
            <w:r>
              <w:t xml:space="preserve"> (boundary)</w:t>
            </w:r>
          </w:p>
        </w:tc>
        <w:tc>
          <w:tcPr>
            <w:tcW w:w="1337" w:type="dxa"/>
          </w:tcPr>
          <w:p>
            <w:pPr/>
            <w:r>
              <w:t xml:space="preserve">gen_ai.input.messages (restricted, optional), event.original (restricted), url.domain, source.ip</w:t>
            </w:r>
          </w:p>
        </w:tc>
        <w:tc>
          <w:tcPr>
            <w:tcW w:w="1337" w:type="dxa"/>
          </w:tcPr>
          <w:p>
            <w:pPr/>
            <w:r>
              <w:t xml:space="preserve">input.origin_class, input.fingerprint, input.instruction_indicator, input.classifier_id, input.classifier_score, input.modality; request.tenant, request.subject_ref; content.lineage_id, content.source_scope, content.destination_scope</w:t>
            </w:r>
          </w:p>
        </w:tc>
        <w:tc>
          <w:tcPr>
            <w:tcW w:w="1337" w:type="dxa"/>
          </w:tcPr>
          <w:p>
            <w:pPr/>
            <w:r>
              <w:t xml:space="preserve">Ingress gateway / content detector; ingress plus IdP; lineage service / DLP</w:t>
            </w:r>
          </w:p>
        </w:tc>
        <w:tc>
          <w:tcPr>
            <w:tcW w:w="1337" w:type="dxa"/>
          </w:tcPr>
          <w:p>
            <w:pPr/>
            <w:r>
              <w:t xml:space="preserve">A: external-origin content carrying instruction patterns that later precedes a tool call (R5); field-size anomalies; D: content lineage crossing from source scope to a destination scope it was not approved for. A content digest is an integrity clue, not an instruction boundary</w:t>
            </w:r>
          </w:p>
        </w:tc>
        <w:tc>
          <w:tcPr>
            <w:tcW w:w="1337" w:type="dxa"/>
          </w:tcPr>
          <w:p>
            <w:pPr/>
            <w:r>
              <w:t xml:space="preserve">AML.T0051.001/.002 indirect and triggered injection, T0093 infiltration via public app, T0078 drive-by, T0129 multimodal triggers, T0134 AI-targeted cloaking; ASI01; LLM01</w:t>
            </w:r>
          </w:p>
        </w:tc>
        <w:tc>
          <w:tcPr>
            <w:tcW w:w="1337" w:type="dxa"/>
          </w:tcPr>
          <w:p>
            <w:pPr/>
            <w:r>
              <w:t xml:space="preserve">HB-AI-601: origin_class external and instruction_indicator true</w:t>
            </w:r>
          </w:p>
        </w:tc>
      </w:tr>
      <w:tr>
        <w:tc>
          <w:tcPr>
            <w:tcW w:w="1337" w:type="dxa"/>
          </w:tcPr>
          <w:p>
            <w:pPr/>
            <w:r>
              <w:rPr>
                <w:b/>
              </w:rPr>
              <w:t xml:space="preserve">6.02 Orchestrator / agent loop</w:t>
            </w:r>
            <w:r>
              <w:t xml:space="preserve"> (control)</w:t>
            </w:r>
          </w:p>
        </w:tc>
        <w:tc>
          <w:tcPr>
            <w:tcW w:w="1337" w:type="dxa"/>
          </w:tcPr>
          <w:p>
            <w:pPr/>
            <w:r>
              <w:t xml:space="preserve">gen_ai.operation.name invoke_agent, gen_ai.agent.id / name / version, gen_ai.workflow.name, gen_ai.conversation.id</w:t>
            </w:r>
          </w:p>
        </w:tc>
        <w:tc>
          <w:tcPr>
            <w:tcW w:w="1337" w:type="dxa"/>
          </w:tcPr>
          <w:p>
            <w:pPr/>
            <w:r>
              <w:t xml:space="preserve">agent.privilege_edge_unapproved, agent.fanout_limit_exceeded, agent.parent_ref, agent.child_ref, agent.call_depth, agent.tool_graph_version</w:t>
            </w:r>
          </w:p>
        </w:tc>
        <w:tc>
          <w:tcPr>
            <w:tcW w:w="1337" w:type="dxa"/>
          </w:tcPr>
          <w:p>
            <w:pPr/>
            <w:r>
              <w:t xml:space="preserve">Orchestrator plus graph-policy verifier (the approved agent-to-agent graph as a control artefact)</w:t>
            </w:r>
          </w:p>
        </w:tc>
        <w:tc>
          <w:tcPr>
            <w:tcW w:w="1337" w:type="dxa"/>
          </w:tcPr>
          <w:p>
            <w:pPr/>
            <w:r>
              <w:t xml:space="preserve">D: invocation depth or fan-out above baseline; privileged agent invoked by a lower-privilege caller; stop-condition and loop-budget breaches; B: tool-graph version changes between sessions; A: autonomous orchestration and discovery of runtime capabilities</w:t>
            </w:r>
          </w:p>
        </w:tc>
        <w:tc>
          <w:tcPr>
            <w:tcW w:w="1337" w:type="dxa"/>
          </w:tcPr>
          <w:p>
            <w:pPr/>
            <w:r>
              <w:t xml:space="preserve">AML.T0118.001 direct agent communication, T0124 autonomous attack orchestration, T0084.001 / T0133 capability discovery, T0034.002 agentic resource consumption; ASI07, ASI08, ASI10; LLM06</w:t>
            </w:r>
          </w:p>
        </w:tc>
        <w:tc>
          <w:tcPr>
            <w:tcW w:w="1337" w:type="dxa"/>
          </w:tcPr>
          <w:p>
            <w:pPr/>
            <w:r>
              <w:t xml:space="preserve">HB-AI-602: privilege_edge_unapproved or fanout_limit_exceeded</w:t>
            </w:r>
          </w:p>
        </w:tc>
      </w:tr>
      <w:tr>
        <w:tc>
          <w:tcPr>
            <w:tcW w:w="1337" w:type="dxa"/>
          </w:tcPr>
          <w:p>
            <w:pPr/>
            <w:r>
              <w:rPr>
                <w:b/>
              </w:rPr>
              <w:t xml:space="preserve">6.03 RAG subsystem</w:t>
            </w:r>
            <w:r>
              <w:t xml:space="preserve"> (data)</w:t>
            </w:r>
          </w:p>
        </w:tc>
        <w:tc>
          <w:tcPr>
            <w:tcW w:w="1337" w:type="dxa"/>
          </w:tcPr>
          <w:p>
            <w:pPr/>
            <w:r>
              <w:t xml:space="preserve">gen_ai.operation.name retrieval (where supported), gen_ai.data_source.id, gen_ai.retrieval.documents</w:t>
            </w:r>
          </w:p>
        </w:tc>
        <w:tc>
          <w:tcPr>
            <w:tcW w:w="1337" w:type="dxa"/>
          </w:tcPr>
          <w:p>
            <w:pPr/>
            <w:r>
              <w:t xml:space="preserve">retrieval.acl_violation, retrieval.index_digest_mismatch, retrieval.result_tenant, retrieval.document_ref, retrieval.corpus_id, retrieval.result_count, index.manifest_digest; access.decision_id</w:t>
            </w:r>
          </w:p>
        </w:tc>
        <w:tc>
          <w:tcPr>
            <w:tcW w:w="1337" w:type="dxa"/>
          </w:tcPr>
          <w:p>
            <w:pPr/>
            <w:r>
              <w:t xml:space="preserve">Corpus registry / index attestor; retriever plus source ACL service; source ACL / PDP</w:t>
            </w:r>
          </w:p>
        </w:tc>
        <w:tc>
          <w:tcPr>
            <w:tcW w:w="1337" w:type="dxa"/>
          </w:tcPr>
          <w:p>
            <w:pPr/>
            <w:r>
              <w:t xml:space="preserve">D: results outside the caller's ACL or tenant; index digest differing from the registered corpus manifest (this is the Platinum release check); B: retrieval volume and scope drift (R4); A: RAG poisoning and credential harvesting from indexed secrets. A source ID alone does not prove historical corpus contents</w:t>
            </w:r>
          </w:p>
        </w:tc>
        <w:tc>
          <w:tcPr>
            <w:tcW w:w="1337" w:type="dxa"/>
          </w:tcPr>
          <w:p>
            <w:pPr/>
            <w:r>
              <w:t xml:space="preserve">AML.T0070 RAG poisoning, T0071 false RAG entry, T0064 gather RAG targets, T0082 RAG credential harvesting, T0085.000 data from RAG databases; ASI06; LLM08, LLM02</w:t>
            </w:r>
          </w:p>
        </w:tc>
        <w:tc>
          <w:tcPr>
            <w:tcW w:w="1337" w:type="dxa"/>
          </w:tcPr>
          <w:p>
            <w:pPr/>
            <w:r>
              <w:t xml:space="preserve">HB-AI-603: acl_violation or index_digest_mismatch</w:t>
            </w:r>
          </w:p>
        </w:tc>
      </w:tr>
      <w:tr>
        <w:tc>
          <w:tcPr>
            <w:tcW w:w="1337" w:type="dxa"/>
          </w:tcPr>
          <w:p>
            <w:pPr/>
            <w:r>
              <w:rPr>
                <w:b/>
              </w:rPr>
              <w:t xml:space="preserve">6.04 Memory and state</w:t>
            </w:r>
            <w:r>
              <w:t xml:space="preserve"> (data)</w:t>
            </w:r>
          </w:p>
        </w:tc>
        <w:tc>
          <w:tcPr>
            <w:tcW w:w="1337" w:type="dxa"/>
          </w:tcPr>
          <w:p>
            <w:pPr/>
            <w:r>
              <w:t xml:space="preserve">gen_ai.conversation.id</w:t>
            </w:r>
          </w:p>
        </w:tc>
        <w:tc>
          <w:tcPr>
            <w:tcW w:w="1337" w:type="dxa"/>
          </w:tcPr>
          <w:p>
            <w:pPr/>
            <w:r>
              <w:t xml:space="preserve">memory.authority_ref, memory.retention_class, memory.cross_principal_read, memory.unauthorized_write, memory.record_ref, memory.ttl_expires_at</w:t>
            </w:r>
          </w:p>
        </w:tc>
        <w:tc>
          <w:tcPr>
            <w:tcW w:w="1337" w:type="dxa"/>
          </w:tcPr>
          <w:p>
            <w:pPr/>
            <w:r>
              <w:t xml:space="preserve">Memory store access logs (independent store confirmation, not the agent's claim)</w:t>
            </w:r>
          </w:p>
        </w:tc>
        <w:tc>
          <w:tcPr>
            <w:tcW w:w="1337" w:type="dxa"/>
          </w:tcPr>
          <w:p>
            <w:pPr/>
            <w:r>
              <w:t xml:space="preserve">D: writes originating from external-provenance content; TTL and write-authorisation violations; reads across principal boundaries; B: retention-class drift; A: delayed-execution instructions persisted in memory (R8). A missing record ID does not prove deletion</w:t>
            </w:r>
          </w:p>
        </w:tc>
        <w:tc>
          <w:tcPr>
            <w:tcW w:w="1337" w:type="dxa"/>
          </w:tcPr>
          <w:p>
            <w:pPr/>
            <w:r>
              <w:t xml:space="preserve">AML.T0080.000/.001 memory and thread poisoning, T0094 delayed execution, T0092 manipulate chat history; ASI06; LLM04</w:t>
            </w:r>
          </w:p>
        </w:tc>
        <w:tc>
          <w:tcPr>
            <w:tcW w:w="1337" w:type="dxa"/>
          </w:tcPr>
          <w:p>
            <w:pPr/>
            <w:r>
              <w:t xml:space="preserve">HB-AI-604: unauthorized_write or cross_principal_read</w:t>
            </w:r>
          </w:p>
        </w:tc>
      </w:tr>
      <w:tr>
        <w:tc>
          <w:tcPr>
            <w:tcW w:w="1337" w:type="dxa"/>
          </w:tcPr>
          <w:p>
            <w:pPr/>
            <w:r>
              <w:rPr>
                <w:b/>
              </w:rPr>
              <w:t xml:space="preserve">6.05 Context assembly</w:t>
            </w:r>
            <w:r>
              <w:t xml:space="preserve"> (control)</w:t>
            </w:r>
          </w:p>
        </w:tc>
        <w:tc>
          <w:tcPr>
            <w:tcW w:w="1337" w:type="dxa"/>
          </w:tcPr>
          <w:p>
            <w:pPr/>
            <w:r>
              <w:t xml:space="preserve">gen_ai.system_instructions (restricted, optional), gen_ai.input.messages</w:t>
            </w:r>
          </w:p>
        </w:tc>
        <w:tc>
          <w:tcPr>
            <w:tcW w:w="1337" w:type="dxa"/>
          </w:tcPr>
          <w:p>
            <w:pPr/>
            <w:r>
              <w:t xml:space="preserve">context.origin_classes, context.protected_instruction_truncated, context.template_digest_match, context.token_budget, prompt.template_digest</w:t>
            </w:r>
          </w:p>
        </w:tc>
        <w:tc>
          <w:tcPr>
            <w:tcW w:w="1337" w:type="dxa"/>
          </w:tcPr>
          <w:p>
            <w:pPr/>
            <w:r>
              <w:t xml:space="preserve">Signed template registry; trusted context compiler</w:t>
            </w:r>
          </w:p>
        </w:tc>
        <w:tc>
          <w:tcPr>
            <w:tcW w:w="1337" w:type="dxa"/>
          </w:tcPr>
          <w:p>
            <w:pPr/>
            <w:r>
              <w:t xml:space="preserve">D: template digest not matching the signed registry (R11); protected instructions truncated by overflow; A: external content adjacent to protected instructions in context lineage; obfuscation and self-replicating prompts. Recorded without routinely exporting prompt bodies</w:t>
            </w:r>
          </w:p>
        </w:tc>
        <w:tc>
          <w:tcPr>
            <w:tcW w:w="1337" w:type="dxa"/>
          </w:tcPr>
          <w:p>
            <w:pPr/>
            <w:r>
              <w:t xml:space="preserve">AML.T0069.000 special character sets, T0068 obfuscation, T0061 self-replication, T0018.003 modify prompt construction; ASI01; LLM01, LLM07</w:t>
            </w:r>
          </w:p>
        </w:tc>
        <w:tc>
          <w:tcPr>
            <w:tcW w:w="1337" w:type="dxa"/>
          </w:tcPr>
          <w:p>
            <w:pPr/>
            <w:r>
              <w:t xml:space="preserve">HB-AI-605: protected_instruction_truncated or template_digest_match false</w:t>
            </w:r>
          </w:p>
        </w:tc>
      </w:tr>
      <w:tr>
        <w:tc>
          <w:tcPr>
            <w:tcW w:w="1337" w:type="dxa"/>
          </w:tcPr>
          <w:p>
            <w:pPr/>
            <w:r>
              <w:rPr>
                <w:b/>
              </w:rPr>
              <w:t xml:space="preserve">6.06 Input / output guardrails</w:t>
            </w:r>
            <w:r>
              <w:t xml:space="preserve"> (control)</w:t>
            </w:r>
          </w:p>
        </w:tc>
        <w:tc>
          <w:tcPr>
            <w:tcW w:w="1337" w:type="dxa"/>
          </w:tcPr>
          <w:p>
            <w:pPr/>
            <w:r>
              <w:t xml:space="preserve">gen_ai.output.messages (restricted, optional), url.domain</w:t>
            </w:r>
          </w:p>
        </w:tc>
        <w:tc>
          <w:tcPr>
            <w:tcW w:w="1337" w:type="dxa"/>
          </w:tcPr>
          <w:p>
            <w:pPr/>
            <w:r>
              <w:t xml:space="preserve">guardrail.bypass_detected, guardrail.policy_ref, guardrail.confidence, output.unsafe_egress_url</w:t>
            </w:r>
          </w:p>
        </w:tc>
        <w:tc>
          <w:tcPr>
            <w:tcW w:w="1337" w:type="dxa"/>
          </w:tcPr>
          <w:p>
            <w:pPr/>
            <w:r>
              <w:t xml:space="preserve">Independent guardrail evaluator; output renderer plus egress monitor</w:t>
            </w:r>
          </w:p>
        </w:tc>
        <w:tc>
          <w:tcPr>
            <w:tcW w:w="1337" w:type="dxa"/>
          </w:tcPr>
          <w:p>
            <w:pPr/>
            <w:r>
              <w:t xml:space="preserve">D: actions proceeding on a guardrail allow with no gate decision; bypass-path tests failing; A: outputs carrying external references with encoded parameters (the ForcedLeak pattern); B: classifier confidence and version drift. Zero filter hits does not prove filtering was on (R7, R12)</w:t>
            </w:r>
          </w:p>
        </w:tc>
        <w:tc>
          <w:tcPr>
            <w:tcW w:w="1337" w:type="dxa"/>
          </w:tcPr>
          <w:p>
            <w:pPr/>
            <w:r>
              <w:t xml:space="preserve">AML.T0054 jailbreak, T0065 prompt crafting, T0077 response rendering; ASI09; LLM05</w:t>
            </w:r>
          </w:p>
        </w:tc>
        <w:tc>
          <w:tcPr>
            <w:tcW w:w="1337" w:type="dxa"/>
          </w:tcPr>
          <w:p>
            <w:pPr/>
            <w:r>
              <w:t xml:space="preserve">HB-AI-606: bypass_detected or unsafe_egress_url</w:t>
            </w:r>
          </w:p>
        </w:tc>
      </w:tr>
      <w:tr>
        <w:tc>
          <w:tcPr>
            <w:tcW w:w="1337" w:type="dxa"/>
          </w:tcPr>
          <w:p>
            <w:pPr/>
            <w:r>
              <w:rPr>
                <w:b/>
              </w:rPr>
              <w:t xml:space="preserve">6.07 Policy / authorization gate</w:t>
            </w:r>
            <w:r>
              <w:t xml:space="preserve"> (identity and action)</w:t>
            </w:r>
          </w:p>
        </w:tc>
        <w:tc>
          <w:tcPr>
            <w:tcW w:w="1337" w:type="dxa"/>
          </w:tcPr>
          <w:p>
            <w:pPr/>
            <w:r>
              <w:t xml:space="preserve">event.action policy_decided, user.id</w:t>
            </w:r>
          </w:p>
        </w:tc>
        <w:tc>
          <w:tcPr>
            <w:tcW w:w="1337" w:type="dxa"/>
          </w:tcPr>
          <w:p>
            <w:pPr/>
            <w:r>
              <w:t xml:space="preserve">authz.receipt_status, authz.policy_version, authz.receipt_id, policy.digest; action.fingerprint, action.material, action.target; decision.id; request.tenant, request.subject_ref; access.decision_id</w:t>
            </w:r>
          </w:p>
        </w:tc>
        <w:tc>
          <w:tcPr>
            <w:tcW w:w="1337" w:type="dxa"/>
          </w:tcPr>
          <w:p>
            <w:pPr/>
            <w:r>
              <w:t xml:space="preserve">Independent policy decision point; signed policy registry</w:t>
            </w:r>
          </w:p>
        </w:tc>
        <w:tc>
          <w:tcPr>
            <w:tcW w:w="1337" w:type="dxa"/>
          </w:tcPr>
          <w:p>
            <w:pPr/>
            <w:r>
              <w:t xml:space="preserve">D: material action with no gate receipt, or a receipt that is expired, invalid or replayed; gate rule-version change; approval issued under the orchestrator's own identity; A: agent-configuration modification and exposed services. This is where propagation stops when the gate is independent</w:t>
            </w:r>
          </w:p>
        </w:tc>
        <w:tc>
          <w:tcPr>
            <w:tcW w:w="1337" w:type="dxa"/>
          </w:tcPr>
          <w:p>
            <w:pPr/>
            <w:r>
              <w:t xml:space="preserve">AML.T0081 modify agent configuration, T0132 misconfigured or exposed AI services; ASI03, ASI02; LLM06</w:t>
            </w:r>
          </w:p>
        </w:tc>
        <w:tc>
          <w:tcPr>
            <w:tcW w:w="1337" w:type="dxa"/>
          </w:tcPr>
          <w:p>
            <w:pPr/>
            <w:r>
              <w:t xml:space="preserve">HB-AI-607: action.material true and receipt_status missing / expired / invalid / replayed</w:t>
            </w:r>
          </w:p>
        </w:tc>
      </w:tr>
      <w:tr>
        <w:tc>
          <w:tcPr>
            <w:tcW w:w="1337" w:type="dxa"/>
          </w:tcPr>
          <w:p>
            <w:pPr/>
            <w:r>
              <w:rPr>
                <w:b/>
              </w:rPr>
              <w:t xml:space="preserve">6.08 Credential broker</w:t>
            </w:r>
            <w:r>
              <w:t xml:space="preserve"> (identity and action)</w:t>
            </w:r>
          </w:p>
        </w:tc>
        <w:tc>
          <w:tcPr>
            <w:tcW w:w="1337" w:type="dxa"/>
          </w:tcPr>
          <w:p>
            <w:pPr/>
            <w:r>
              <w:t xml:space="preserve">event.action credential_issued, user.id</w:t>
            </w:r>
          </w:p>
        </w:tc>
        <w:tc>
          <w:tcPr>
            <w:tcW w:w="1337" w:type="dxa"/>
          </w:tcPr>
          <w:p>
            <w:pPr/>
            <w:r>
              <w:t xml:space="preserve">credential.reference, credential.scope, credential.ttl, credential.scope_violation, credential.revoked_used, credential.use_accepted, credential.expires_at, credential.revoked_at</w:t>
            </w:r>
          </w:p>
        </w:tc>
        <w:tc>
          <w:tcPr>
            <w:tcW w:w="1337" w:type="dxa"/>
          </w:tcPr>
          <w:p>
            <w:pPr/>
            <w:r>
              <w:t xml:space="preserve">Token broker / relying target (issuance and acceptance from both sides)</w:t>
            </w:r>
          </w:p>
        </w:tc>
        <w:tc>
          <w:tcPr>
            <w:tcW w:w="1337" w:type="dxa"/>
          </w:tcPr>
          <w:p>
            <w:pPr/>
            <w:r>
              <w:t xml:space="preserve">D: one credential used across more targets than the task scope; privileged tool call under a delegated identity with no delegation record; revoked credential accepted; B: TTL drift toward standing privilege; A: credential harvesting from agent configuration (R9)</w:t>
            </w:r>
          </w:p>
        </w:tc>
        <w:tc>
          <w:tcPr>
            <w:tcW w:w="1337" w:type="dxa"/>
          </w:tcPr>
          <w:p>
            <w:pPr/>
            <w:r>
              <w:t xml:space="preserve">AML.T0083 credentials from agent configuration, T0098 tool credential harvesting, T0091.000 application access token, T0012 valid accounts; ASI03; LLM02</w:t>
            </w:r>
          </w:p>
        </w:tc>
        <w:tc>
          <w:tcPr>
            <w:tcW w:w="1337" w:type="dxa"/>
          </w:tcPr>
          <w:p>
            <w:pPr/>
            <w:r>
              <w:t xml:space="preserve">HB-AI-608: scope_violation or revoked_used</w:t>
            </w:r>
          </w:p>
        </w:tc>
      </w:tr>
      <w:tr>
        <w:tc>
          <w:tcPr>
            <w:tcW w:w="1337" w:type="dxa"/>
          </w:tcPr>
          <w:p>
            <w:pPr/>
            <w:r>
              <w:rPr>
                <w:b/>
              </w:rPr>
              <w:t xml:space="preserve">6.09 Extensions / MCP / skills</w:t>
            </w:r>
            <w:r>
              <w:t xml:space="preserve"> (identity and action, supply chain)</w:t>
            </w:r>
          </w:p>
        </w:tc>
        <w:tc>
          <w:tcPr>
            <w:tcW w:w="1337" w:type="dxa"/>
          </w:tcPr>
          <w:p>
            <w:pPr/>
            <w:r>
              <w:t xml:space="preserve">gen_ai.tool.definitions, gen_ai.tool.type</w:t>
            </w:r>
          </w:p>
        </w:tc>
        <w:tc>
          <w:tcPr>
            <w:tcW w:w="1337" w:type="dxa"/>
          </w:tcPr>
          <w:p>
            <w:pPr/>
            <w:r>
              <w:t xml:space="preserve">extension.attestation_status, extension.digest, extension.digest_mismatch, extension.publisher_ref, extension.endpoint_id; allowlist.version</w:t>
            </w:r>
          </w:p>
        </w:tc>
        <w:tc>
          <w:tcPr>
            <w:tcW w:w="1337" w:type="dxa"/>
          </w:tcPr>
          <w:p>
            <w:pPr/>
            <w:r>
              <w:t xml:space="preserve">Publisher / MCP registry verifier; asset inventory / egress proxy</w:t>
            </w:r>
          </w:p>
        </w:tc>
        <w:tc>
          <w:tcPr>
            <w:tcW w:w="1337" w:type="dxa"/>
          </w:tcPr>
          <w:p>
            <w:pPr/>
            <w:r>
              <w:t xml:space="preserve">D: tool definitions changing between sessions; unregistered MCP endpoint; digest differing from the attested package; A: tool poisoning, rug pull, reputation inflation; cross-tenant object IDs in tool responses. A Nuix Neo MCP endpoint registers here</w:t>
            </w:r>
          </w:p>
        </w:tc>
        <w:tc>
          <w:tcPr>
            <w:tcW w:w="1337" w:type="dxa"/>
          </w:tcPr>
          <w:p>
            <w:pPr/>
            <w:r>
              <w:t xml:space="preserve">AML.T0110 tool poisoning (.000 definition, .001 implementation, .002 runtime), T0010.005 supply chain agent tool, T0109 rug pull, T0115.002 publish poisoned tools, T0111 reputation inflation; ASI04; LLM03</w:t>
            </w:r>
          </w:p>
        </w:tc>
        <w:tc>
          <w:tcPr>
            <w:tcW w:w="1337" w:type="dxa"/>
          </w:tcPr>
          <w:p>
            <w:pPr/>
            <w:r>
              <w:t xml:space="preserve">HB-AI-609: attestation_status missing / invalid / revoked or digest_mismatch</w:t>
            </w:r>
          </w:p>
        </w:tc>
      </w:tr>
      <w:tr>
        <w:tc>
          <w:tcPr>
            <w:tcW w:w="1337" w:type="dxa"/>
          </w:tcPr>
          <w:p>
            <w:pPr/>
            <w:r>
              <w:rPr>
                <w:b/>
              </w:rPr>
              <w:t xml:space="preserve">6.10 Tool dispatcher</w:t>
            </w:r>
            <w:r>
              <w:t xml:space="preserve"> (identity and action)</w:t>
            </w:r>
          </w:p>
        </w:tc>
        <w:tc>
          <w:tcPr>
            <w:tcW w:w="1337" w:type="dxa"/>
          </w:tcPr>
          <w:p>
            <w:pPr/>
            <w:r>
              <w:t xml:space="preserve">gen_ai.operation.name execute_tool, gen_ai.tool.name, gen_ai.tool.call.id, gen_ai.tool.call.arguments / result (restricted, optional)</w:t>
            </w:r>
          </w:p>
        </w:tc>
        <w:tc>
          <w:tcPr>
            <w:tcW w:w="1337" w:type="dxa"/>
          </w:tcPr>
          <w:p>
            <w:pPr/>
            <w:r>
              <w:t xml:space="preserve">dispatch.receipt_match, dispatch.budget_reservation_valid, dispatch.action_id, dispatch.tool_id; action.fingerprint, action.material, action.target; content.lineage_id / source_scope / destination_scope</w:t>
            </w:r>
          </w:p>
        </w:tc>
        <w:tc>
          <w:tcPr>
            <w:tcW w:w="1337" w:type="dxa"/>
          </w:tcPr>
          <w:p>
            <w:pPr/>
            <w:r>
              <w:t xml:space="preserve">Independent action dispatcher; independent PDP / dispatcher</w:t>
            </w:r>
          </w:p>
        </w:tc>
        <w:tc>
          <w:tcPr>
            <w:tcW w:w="1337" w:type="dxa"/>
          </w:tcPr>
          <w:p>
            <w:pPr/>
            <w:r>
              <w:t xml:space="preserve">D: execute_tool with no matching gate receipt or no valid budget reservation; tool call to a target outside declared scope; blanket auto-approval in effect; A: write or destructive calls whose arguments contain external-provenance content (R3, R5). An execute_tool span alone does not prove the effect</w:t>
            </w:r>
          </w:p>
        </w:tc>
        <w:tc>
          <w:tcPr>
            <w:tcW w:w="1337" w:type="dxa"/>
          </w:tcPr>
          <w:p>
            <w:pPr/>
            <w:r>
              <w:t xml:space="preserve">AML.T0053 tool invocation, T0086 exfiltration via tool, T0101 data destruction via tool, T0085.001 data from agent tools, T0100 agent clickbait; ASI02, ASI05; LLM06</w:t>
            </w:r>
          </w:p>
        </w:tc>
        <w:tc>
          <w:tcPr>
            <w:tcW w:w="1337" w:type="dxa"/>
          </w:tcPr>
          <w:p>
            <w:pPr/>
            <w:r>
              <w:t xml:space="preserve">HB-AI-610: execute_tool and (receipt_match false or budget_reservation_valid false)</w:t>
            </w:r>
          </w:p>
        </w:tc>
      </w:tr>
      <w:tr>
        <w:tc>
          <w:tcPr>
            <w:tcW w:w="1337" w:type="dxa"/>
          </w:tcPr>
          <w:p>
            <w:pPr/>
            <w:r>
              <w:rPr>
                <w:b/>
              </w:rPr>
              <w:t xml:space="preserve">6.11 Sandbox / downstream systems</w:t>
            </w:r>
            <w:r>
              <w:t xml:space="preserve"> (data, permitted effects)</w:t>
            </w:r>
          </w:p>
        </w:tc>
        <w:tc>
          <w:tcPr>
            <w:tcW w:w="1337" w:type="dxa"/>
          </w:tcPr>
          <w:p>
            <w:pPr/>
            <w:r>
              <w:t xml:space="preserve">destination.ip, url.domain, deployment.environment.name, event.outcome</w:t>
            </w:r>
          </w:p>
        </w:tc>
        <w:tc>
          <w:tcPr>
            <w:tcW w:w="1337" w:type="dxa"/>
          </w:tcPr>
          <w:p>
            <w:pPr/>
            <w:r>
              <w:t xml:space="preserve">downstream.request_id, effect.status, effect.environment_violation, effect.outcome_mismatch, effect.unapproved_egress, effect.affected_rows, effect.verified_by, effect.verification_time; allowlist.version; recovery.reference</w:t>
            </w:r>
          </w:p>
        </w:tc>
        <w:tc>
          <w:tcPr>
            <w:tcW w:w="1337" w:type="dxa"/>
          </w:tcPr>
          <w:p>
            <w:pPr/>
            <w:r>
              <w:t xml:space="preserve">System-of-record audit; target system / outcome verifier; recovery verifier / ITSM</w:t>
            </w:r>
          </w:p>
        </w:tc>
        <w:tc>
          <w:tcPr>
            <w:tcW w:w="1337" w:type="dxa"/>
          </w:tcPr>
          <w:p>
            <w:pPr/>
            <w:r>
              <w:t xml:space="preserve">D: production mutation from a non-production identity; egress to an allowlisted host whose registration lapsed; agent-reported outcome differing from the target system's own log; B: affected-row counts above the approved ceiling; A: exfiltration, escape to host, writes of private lineage to public surfaces. Validate through the target's own logs; late traces require reconciliation</w:t>
            </w:r>
          </w:p>
        </w:tc>
        <w:tc>
          <w:tcPr>
            <w:tcW w:w="1337" w:type="dxa"/>
          </w:tcPr>
          <w:p>
            <w:pPr/>
            <w:r>
              <w:t xml:space="preserve">AML.T0048 external harms, T0025 exfiltration via cyber means, T0105 escape to host, T0122 exploitation of remote services; ASI08; LLM02, LLM05</w:t>
            </w:r>
          </w:p>
        </w:tc>
        <w:tc>
          <w:tcPr>
            <w:tcW w:w="1337" w:type="dxa"/>
          </w:tcPr>
          <w:p>
            <w:pPr/>
            <w:r>
              <w:t xml:space="preserve">HB-AI-611: environment_violation or unapproved_egress or outcome_mismatch</w:t>
            </w:r>
          </w:p>
        </w:tc>
      </w:tr>
      <w:tr>
        <w:tc>
          <w:tcPr>
            <w:tcW w:w="1337" w:type="dxa"/>
          </w:tcPr>
          <w:p>
            <w:pPr/>
            <w:r>
              <w:rPr>
                <w:b/>
              </w:rPr>
              <w:t xml:space="preserve">6.12 Observability and audit</w:t>
            </w:r>
            <w:r>
              <w:t xml:space="preserve"> (evidence)</w:t>
            </w:r>
          </w:p>
        </w:tc>
        <w:tc>
          <w:tcPr>
            <w:tcW w:w="1337" w:type="dxa"/>
          </w:tcPr>
          <w:p>
            <w:pPr/>
            <w:r>
              <w:t xml:space="preserve">trace.id, span.id, event.ingested, telemetry.sdk.version</w:t>
            </w:r>
          </w:p>
        </w:tc>
        <w:tc>
          <w:tcPr>
            <w:tcW w:w="1337" w:type="dxa"/>
          </w:tcPr>
          <w:p>
            <w:pPr/>
            <w:r>
              <w:t xml:space="preserve">producer.identity, producer.trust_level, producer.signature_status, producer.coverage_id; evidence.contract_id, evidence.artifact_hash, evidence.artifact_uri, evidence.coverage_status, evidence.integrity_status; collector.loss_slo_breached, collector.dropped_events, collector.ingest_delay_ms, collector.heartbeat_at</w:t>
            </w:r>
          </w:p>
        </w:tc>
        <w:tc>
          <w:tcPr>
            <w:tcW w:w="1337" w:type="dxa"/>
          </w:tcPr>
          <w:p>
            <w:pPr/>
            <w:r>
              <w:t xml:space="preserve">Collector identity registry; evidence store / integrity checker; OTel / secure log collector</w:t>
            </w:r>
          </w:p>
        </w:tc>
        <w:tc>
          <w:tcPr>
            <w:tcW w:w="1337" w:type="dxa"/>
          </w:tcPr>
          <w:p>
            <w:pPr/>
            <w:r>
              <w:t xml:space="preserve">D: agent claims (tests passed, rollback done) with no corroborating producer event; gaps in producer coverage; evidence integrity failures; B: collector loss, delay and heartbeat drift that would silently blind every other rule; A: citation and chat-history manipulation, masquerading. Sampling can discard evidence tail sampling cannot recover; material-action records need a separate durable path</w:t>
            </w:r>
          </w:p>
        </w:tc>
        <w:tc>
          <w:tcPr>
            <w:tcW w:w="1337" w:type="dxa"/>
          </w:tcPr>
          <w:p>
            <w:pPr/>
            <w:r>
              <w:t xml:space="preserve">AML.T0067 trusted output manipulation, T0067.000 citations, T0074 masquerading, T0092 manipulate chat history; ASI09, ASI10; LLM09</w:t>
            </w:r>
          </w:p>
        </w:tc>
        <w:tc>
          <w:tcPr>
            <w:tcW w:w="1337" w:type="dxa"/>
          </w:tcPr>
          <w:p>
            <w:pPr/>
            <w:r>
              <w:t xml:space="preserve">HB-AI-612: coverage_status gap or integrity_status invalid or loss_slo_breached</w:t>
            </w:r>
          </w:p>
        </w:tc>
      </w:tr>
      <w:tr>
        <w:tc>
          <w:tcPr>
            <w:tcW w:w="1337" w:type="dxa"/>
          </w:tcPr>
          <w:p>
            <w:pPr/>
            <w:r>
              <w:rPr>
                <w:b/>
              </w:rPr>
              <w:t xml:space="preserve">6.13 Identity and delegation</w:t>
            </w:r>
            <w:r>
              <w:t xml:space="preserve"> (lifecycle)</w:t>
            </w:r>
          </w:p>
        </w:tc>
        <w:tc>
          <w:tcPr>
            <w:tcW w:w="1337" w:type="dxa"/>
          </w:tcPr>
          <w:p>
            <w:pPr/>
            <w:r>
              <w:t xml:space="preserve">user.id, gen_ai.agent.id</w:t>
            </w:r>
          </w:p>
        </w:tc>
        <w:tc>
          <w:tcPr>
            <w:tcW w:w="1337" w:type="dxa"/>
          </w:tcPr>
          <w:p>
            <w:pPr/>
            <w:r>
              <w:t xml:space="preserve">delegation.chain_id, delegation.expires_at, delegation.scope, delegation.scope_subset, delegation.revoked_child_active, delegation.parent_ref, delegation.child_ref, delegation.revoke_command_id</w:t>
            </w:r>
          </w:p>
        </w:tc>
        <w:tc>
          <w:tcPr>
            <w:tcW w:w="1337" w:type="dxa"/>
          </w:tcPr>
          <w:p>
            <w:pPr/>
            <w:r>
              <w:t xml:space="preserve">Identity and delegation issuer (trusted identity service; never client-written agent IDs or trace headers)</w:t>
            </w:r>
          </w:p>
        </w:tc>
        <w:tc>
          <w:tcPr>
            <w:tcW w:w="1337" w:type="dxa"/>
          </w:tcPr>
          <w:p>
            <w:pPr/>
            <w:r>
              <w:t xml:space="preserve">D: a hop whose child scope is not a subset of the parent's; a child still running after revocation; an action with no delegation chain back to a human owner; B: delegation expiry drifting toward standing grants; A: deploy-AI-agent and valid-accounts abuse across organisation boundaries</w:t>
            </w:r>
          </w:p>
        </w:tc>
        <w:tc>
          <w:tcPr>
            <w:tcW w:w="1337" w:type="dxa"/>
          </w:tcPr>
          <w:p>
            <w:pPr/>
            <w:r>
              <w:t xml:space="preserve">AML.T0118.001, T0091.000, T0083, T0012, T0103 deploy AI agent; ASI03, ASI07; LLM06</w:t>
            </w:r>
          </w:p>
        </w:tc>
        <w:tc>
          <w:tcPr>
            <w:tcW w:w="1337" w:type="dxa"/>
          </w:tcPr>
          <w:p>
            <w:pPr/>
            <w:r>
              <w:t xml:space="preserve">HB-AI-613: scope_subset false or revoked_child_active</w:t>
            </w:r>
          </w:p>
        </w:tc>
      </w:tr>
      <w:tr>
        <w:tc>
          <w:tcPr>
            <w:tcW w:w="1337" w:type="dxa"/>
          </w:tcPr>
          <w:p>
            <w:pPr/>
            <w:r>
              <w:rPr>
                <w:b/>
              </w:rPr>
              <w:t xml:space="preserve">6.14 Evaluation and conformance</w:t>
            </w:r>
            <w:r>
              <w:t xml:space="preserve"> (lifecycle)</w:t>
            </w:r>
          </w:p>
        </w:tc>
        <w:tc>
          <w:tcPr>
            <w:tcW w:w="1337" w:type="dxa"/>
          </w:tcPr>
          <w:p>
            <w:pPr/>
            <w:r>
              <w:t xml:space="preserve">gen_ai.evaluation.result event (name, score.value, score.label, explanation), gen_ai.request.model / response.model</w:t>
            </w:r>
          </w:p>
        </w:tc>
        <w:tc>
          <w:tcPr>
            <w:tcW w:w="1337" w:type="dxa"/>
          </w:tcPr>
          <w:p>
            <w:pPr/>
            <w:r>
              <w:t xml:space="preserve">eval.model_ref, eval.suite_version, eval.dataset_version, eval.threshold_status, eval.release_binding_valid, eval.score, eval.judge_version</w:t>
            </w:r>
          </w:p>
        </w:tc>
        <w:tc>
          <w:tcPr>
            <w:tcW w:w="1337" w:type="dxa"/>
          </w:tcPr>
          <w:p>
            <w:pPr/>
            <w:r>
              <w:t xml:space="preserve">Independent evaluation runner</w:t>
            </w:r>
          </w:p>
        </w:tc>
        <w:tc>
          <w:tcPr>
            <w:tcW w:w="1337" w:type="dxa"/>
          </w:tcPr>
          <w:p>
            <w:pPr/>
            <w:r>
              <w:t xml:space="preserve">B: degraded grounding, accuracy or bias behind a stable model name; suite, dataset or evaluator version drift; D: resolved deployment outside the approved set; failed evaluation not routed to an independent release decision; A: training-data poisoning and model supply-chain substitution. eval.dataset_version is where the Platinum corpus release is bound to the evaluation</w:t>
            </w:r>
          </w:p>
        </w:tc>
        <w:tc>
          <w:tcPr>
            <w:tcW w:w="1337" w:type="dxa"/>
          </w:tcPr>
          <w:p>
            <w:pPr/>
            <w:r>
              <w:t xml:space="preserve">AML.T0031 erode model integrity, T0020 training data poisoning, T0018.003, T0010.003 supply chain model, T0067; ASI04, ASI10; LLM04, LLM09</w:t>
            </w:r>
          </w:p>
        </w:tc>
        <w:tc>
          <w:tcPr>
            <w:tcW w:w="1337" w:type="dxa"/>
          </w:tcPr>
          <w:p>
            <w:pPr/>
            <w:r>
              <w:t xml:space="preserve">HB-AI-614: threshold_status fail or release_binding_valid false</w:t>
            </w:r>
          </w:p>
        </w:tc>
      </w:tr>
      <w:tr>
        <w:tc>
          <w:tcPr>
            <w:tcW w:w="1337" w:type="dxa"/>
          </w:tcPr>
          <w:p>
            <w:pPr/>
            <w:r>
              <w:rPr>
                <w:b/>
              </w:rPr>
              <w:t xml:space="preserve">6.15 Human oversight console</w:t>
            </w:r>
            <w:r>
              <w:t xml:space="preserve"> (lifecycle)</w:t>
            </w:r>
          </w:p>
        </w:tc>
        <w:tc>
          <w:tcPr>
            <w:tcW w:w="1337" w:type="dxa"/>
          </w:tcPr>
          <w:p>
            <w:pPr/>
            <w:r>
              <w:t xml:space="preserve">event.action oversight_decided, user.id</w:t>
            </w:r>
          </w:p>
        </w:tc>
        <w:tc>
          <w:tcPr>
            <w:tcW w:w="1337" w:type="dxa"/>
          </w:tcPr>
          <w:p>
            <w:pPr/>
            <w:r>
              <w:t xml:space="preserve">oversight.evidence_id, oversight.approval_binding_valid, oversight.interrupt_stop_verified, oversight.reviewer_ref, oversight.stop_observed_at, approver.reference; decision.id</w:t>
            </w:r>
          </w:p>
        </w:tc>
        <w:tc>
          <w:tcPr>
            <w:tcW w:w="1337" w:type="dxa"/>
          </w:tcPr>
          <w:p>
            <w:pPr/>
            <w:r>
              <w:t xml:space="preserve">Human identity provider; independent review console</w:t>
            </w:r>
          </w:p>
        </w:tc>
        <w:tc>
          <w:tcPr>
            <w:tcW w:w="1337" w:type="dxa"/>
          </w:tcPr>
          <w:p>
            <w:pPr/>
            <w:r>
              <w:t xml:space="preserve">D: approver identity equal to the agent's; approval reused across actions or past expiry; interrupt issued with no observed stop in the execution and identity layers; B: approvals faster than the evidence could be read (rubber-stamp drift); A: impersonation and delayed execution after the approval window</w:t>
            </w:r>
          </w:p>
        </w:tc>
        <w:tc>
          <w:tcPr>
            <w:tcW w:w="1337" w:type="dxa"/>
          </w:tcPr>
          <w:p>
            <w:pPr/>
            <w:r>
              <w:t xml:space="preserve">AML.T0067, T0073 impersonation, T0094 delayed execution, T0100, T0092; ASI09; LLM09</w:t>
            </w:r>
          </w:p>
        </w:tc>
        <w:tc>
          <w:tcPr>
            <w:tcW w:w="1337" w:type="dxa"/>
          </w:tcPr>
          <w:p>
            <w:pPr/>
            <w:r>
              <w:t xml:space="preserve">HB-AI-615: approval_binding_valid false or interrupt_stop_verified false</w:t>
            </w:r>
          </w:p>
        </w:tc>
      </w:tr>
      <w:tr>
        <w:tc>
          <w:tcPr>
            <w:tcW w:w="1337" w:type="dxa"/>
          </w:tcPr>
          <w:p>
            <w:pPr/>
            <w:r>
              <w:rPr>
                <w:b/>
              </w:rPr>
              <w:t xml:space="preserve">6.16 AI BOM and attestation</w:t>
            </w:r>
            <w:r>
              <w:t xml:space="preserve"> (lifecycle, release assurance)</w:t>
            </w:r>
          </w:p>
        </w:tc>
        <w:tc>
          <w:tcPr>
            <w:tcW w:w="1337" w:type="dxa"/>
          </w:tcPr>
          <w:p>
            <w:pPr/>
            <w:r>
              <w:t xml:space="preserve">gen_ai.agent.version, gen_ai.tool.definitions, service.version</w:t>
            </w:r>
          </w:p>
        </w:tc>
        <w:tc>
          <w:tcPr>
            <w:tcW w:w="1337" w:type="dxa"/>
          </w:tcPr>
          <w:p>
            <w:pPr/>
            <w:r>
              <w:t xml:space="preserve">attestation.verification, attestation.verifier, manifest.digest, manifest.digest_match, registry.release_id, release.status</w:t>
            </w:r>
          </w:p>
        </w:tc>
        <w:tc>
          <w:tcPr>
            <w:tcW w:w="1337" w:type="dxa"/>
          </w:tcPr>
          <w:p>
            <w:pPr/>
            <w:r>
              <w:t xml:space="preserve">AI asset registry; artifact verifier; release controller; release registry (trusted verifier, not the workload's own digest)</w:t>
            </w:r>
          </w:p>
        </w:tc>
        <w:tc>
          <w:tcPr>
            <w:tcW w:w="1337" w:type="dxa"/>
          </w:tcPr>
          <w:p>
            <w:pPr/>
            <w:r>
              <w:t xml:space="preserve">D: runtime manifest digest differing from the registry; an MCP endpoint, tool, policy or index with no registry entry; a digest reported by the workload with no independent verification (R11); A: supply-chain substitution, rug pull, configuration acquisition. registry.release_id is the handle for a Platinum corpus release at step 0. Digest equality does not prove origin or rights</w:t>
            </w:r>
          </w:p>
        </w:tc>
        <w:tc>
          <w:tcPr>
            <w:tcW w:w="1337" w:type="dxa"/>
          </w:tcPr>
          <w:p>
            <w:pPr/>
            <w:r>
              <w:t xml:space="preserve">AML.T0010.005, T0109, T0110, T0115.002, T0111, T0081, T0002.002 acquire agent configuration; ASI04; LLM03</w:t>
            </w:r>
          </w:p>
        </w:tc>
        <w:tc>
          <w:tcPr>
            <w:tcW w:w="1337" w:type="dxa"/>
          </w:tcPr>
          <w:p>
            <w:pPr/>
            <w:r>
              <w:t xml:space="preserve">HB-AI-616: attestation.verification failed or manifest.digest_match false or release.status unregistered</w:t>
            </w:r>
          </w:p>
        </w:tc>
      </w:tr>
      <w:tr>
        <w:tc>
          <w:tcPr>
            <w:tcW w:w="1337" w:type="dxa"/>
          </w:tcPr>
          <w:p>
            <w:pPr/>
            <w:r>
              <w:rPr>
                <w:b/>
              </w:rPr>
              <w:t xml:space="preserve">6.17 Authority and consumption</w:t>
            </w:r>
            <w:r>
              <w:t xml:space="preserve"> (lifecycle)</w:t>
            </w:r>
          </w:p>
        </w:tc>
        <w:tc>
          <w:tcPr>
            <w:tcW w:w="1337" w:type="dxa"/>
          </w:tcPr>
          <w:p>
            <w:pPr/>
            <w:r>
              <w:t xml:space="preserve">gen_ai.usage.input_tokens / output_tokens, gen_ai.request.max_tokens</w:t>
            </w:r>
          </w:p>
        </w:tc>
        <w:tc>
          <w:tcPr>
            <w:tcW w:w="1337" w:type="dxa"/>
          </w:tcPr>
          <w:p>
            <w:pPr/>
            <w:r>
              <w:t xml:space="preserve">budget.consumed, budget.limit, budget.over_limit, budget.reservation_id, budget.reservation_status, budget.unit, budget.balance, budget.currency</w:t>
            </w:r>
          </w:p>
        </w:tc>
        <w:tc>
          <w:tcPr>
            <w:tcW w:w="1337" w:type="dxa"/>
          </w:tcPr>
          <w:p>
            <w:pPr/>
            <w:r>
              <w:t xml:space="preserve">Atomic central quota ledger (gateway or dispatcher reservation, not the SDK's token counter)</w:t>
            </w:r>
          </w:p>
        </w:tc>
        <w:tc>
          <w:tcPr>
            <w:tcW w:w="1337" w:type="dxa"/>
          </w:tcPr>
          <w:p>
            <w:pPr/>
            <w:r>
              <w:t xml:space="preserve">D: dispatch with no ledger reservation; budget reset at a delegation hop; concurrent reservations exceeding the task-family ceiling; B: consumption and cost above a validated baseline (R6); A: cost harvesting, denial of AI service, mass mutation without a transaction ceiling. Token counts are not total spend and an anomaly is not proof of exfiltration</w:t>
            </w:r>
          </w:p>
        </w:tc>
        <w:tc>
          <w:tcPr>
            <w:tcW w:w="1337" w:type="dxa"/>
          </w:tcPr>
          <w:p>
            <w:pPr/>
            <w:r>
              <w:t xml:space="preserve">AML.T0034.002, T0034 cost harvesting, T0029 denial of AI service, T0048.000 financial harm, T0101; ASI08, ASI10; LLM10</w:t>
            </w:r>
          </w:p>
        </w:tc>
        <w:tc>
          <w:tcPr>
            <w:tcW w:w="1337" w:type="dxa"/>
          </w:tcPr>
          <w:p>
            <w:pPr/>
            <w:r>
              <w:t xml:space="preserve">HB-AI-617: reservation_status missing or over_limit</w:t>
            </w:r>
          </w:p>
        </w:tc>
      </w:tr>
      <w:tr>
        <w:tc>
          <w:tcPr>
            <w:tcW w:w="1337" w:type="dxa"/>
          </w:tcPr>
          <w:p>
            <w:pPr/>
            <w:r>
              <w:rPr>
                <w:b/>
              </w:rPr>
              <w:t xml:space="preserve">6.18 Transparency and recourse</w:t>
            </w:r>
            <w:r>
              <w:t xml:space="preserve"> (lifecycle)</w:t>
            </w:r>
          </w:p>
        </w:tc>
        <w:tc>
          <w:tcPr>
            <w:tcW w:w="1337" w:type="dxa"/>
          </w:tcPr>
          <w:p>
            <w:pPr/>
            <w:r>
              <w:t xml:space="preserve">event.action, user.id</w:t>
            </w:r>
          </w:p>
        </w:tc>
        <w:tc>
          <w:tcPr>
            <w:tcW w:w="1337" w:type="dxa"/>
          </w:tcPr>
          <w:p>
            <w:pPr/>
            <w:r>
              <w:t xml:space="preserve">recourse.decision_unverifiable, recourse.explanation_sensitive_data, recourse.notice_ref, recourse.appeal_ref, recourse.outcome_ref; decision.id; recovery.reference</w:t>
            </w:r>
          </w:p>
        </w:tc>
        <w:tc>
          <w:tcPr>
            <w:tcW w:w="1337" w:type="dxa"/>
          </w:tcPr>
          <w:p>
            <w:pPr/>
            <w:r>
              <w:t xml:space="preserve">Notice and appeal system</w:t>
            </w:r>
          </w:p>
        </w:tc>
        <w:tc>
          <w:tcPr>
            <w:tcW w:w="1337" w:type="dxa"/>
          </w:tcPr>
          <w:p>
            <w:pPr/>
            <w:r>
              <w:t xml:space="preserve">D: decision record with no verified outcome behind it; contest outcome not linked to the original decision; A: explanation containing unredacted trace content, third-party data, prompts or security controls (sensitive disclosure through the recourse channel itself); B: response biasing and citation manipulation in rendered explanations</w:t>
            </w:r>
          </w:p>
        </w:tc>
        <w:tc>
          <w:tcPr>
            <w:tcW w:w="1337" w:type="dxa"/>
          </w:tcPr>
          <w:p>
            <w:pPr/>
            <w:r>
              <w:t xml:space="preserve">AML.T0067.000, T0130 agent response biasing, T0092, T0057, T0077; ASI09; LLM02, LLM09</w:t>
            </w:r>
          </w:p>
        </w:tc>
        <w:tc>
          <w:tcPr>
            <w:tcW w:w="1337" w:type="dxa"/>
          </w:tcPr>
          <w:p>
            <w:pPr/>
            <w:r>
              <w:t xml:space="preserve">HB-AI-618: decision_unverifiable or explanation_sensitive_data</w:t>
            </w:r>
          </w:p>
        </w:tc>
      </w:tr>
    </w:tbl>
    <w:p>
      <w:pPr>
        <w:pStyle w:val="Heading2"/>
      </w:pPr>
      <w:r>
        <w:t xml:space="preserve">What reaches the SIEM, and what does not</w:t>
      </w:r>
    </w:p>
    <w:p>
      <w:pPr/>
      <w:r>
        <w:t xml:space="preserve">The dictionary tags every field with a privacy tier and a collection level, and the reference model separates four logical destinations. The SIEM correlation tier is built from low- and internal-tier metadata and the curated findings above; restricted content is captured only with an approved purpose and an access path, and is referenced from the SIEM by evidence pointer, not copied into alerts.</w:t>
      </w:r>
    </w:p>
    <w:tbl>
      <w:tblPr>
        <w:tblStyle w:val="TableGrid"/>
        <w:tblW w:w="0" w:type="auto"/>
        <w:tblLayout w:type="fixed"/>
        <w:tblLook w:val="04A0" w:firstRow="1" w:lastRow="0" w:firstColumn="0" w:lastColumn="0" w:noHBand="0" w:noVBand="1"/>
      </w:tblPr>
      <w:tblGrid>
        <w:gridCol w:w="1424"/>
        <w:gridCol w:w="4754"/>
        <w:gridCol w:w="1464"/>
        <w:gridCol w:w="1718"/>
      </w:tblGrid>
      <w:tr>
        <w:trPr>
          <w:tblHeader/>
        </w:trPr>
        <w:tc>
          <w:tcPr>
            <w:tcW w:w="1424" w:type="dxa"/>
            <w:shd w:val="clear" w:color="auto" w:fill="F2F2F2"/>
          </w:tcPr>
          <w:p>
            <w:pPr/>
            <w:r>
              <w:t xml:space="preserve">Tier</w:t>
            </w:r>
          </w:p>
        </w:tc>
        <w:tc>
          <w:tcPr>
            <w:tcW w:w="4754" w:type="dxa"/>
            <w:shd w:val="clear" w:color="auto" w:fill="F2F2F2"/>
          </w:tcPr>
          <w:p>
            <w:pPr/>
            <w:r>
              <w:t xml:space="preserve">Fields</w:t>
            </w:r>
          </w:p>
        </w:tc>
        <w:tc>
          <w:tcPr>
            <w:tcW w:w="1464" w:type="dxa"/>
            <w:shd w:val="clear" w:color="auto" w:fill="F2F2F2"/>
          </w:tcPr>
          <w:p>
            <w:pPr/>
            <w:r>
              <w:t xml:space="preserve">Collection level</w:t>
            </w:r>
          </w:p>
        </w:tc>
        <w:tc>
          <w:tcPr>
            <w:tcW w:w="1718" w:type="dxa"/>
            <w:shd w:val="clear" w:color="auto" w:fill="F2F2F2"/>
          </w:tcPr>
          <w:p>
            <w:pPr/>
            <w:r>
              <w:t xml:space="preserve">Destination</w:t>
            </w:r>
          </w:p>
        </w:tc>
      </w:tr>
      <w:tr>
        <w:tc>
          <w:tcPr>
            <w:tcW w:w="1424" w:type="dxa"/>
          </w:tcPr>
          <w:p>
            <w:pPr/>
            <w:r>
              <w:t xml:space="preserve">Low (routing and correlation)</w:t>
            </w:r>
          </w:p>
        </w:tc>
        <w:tc>
          <w:tcPr>
            <w:tcW w:w="4754" w:type="dxa"/>
          </w:tcPr>
          <w:p>
            <w:pPr/>
            <w:r>
              <w:t xml:space="preserve">All ECS envelope fields except those below; practical_trust task context, component.id, rule.id, verdict; all boolean and status assurance fields (acl_violation, bypass_detected, receipt_status, digest_match, over_limit and the rest)</w:t>
            </w:r>
          </w:p>
        </w:tc>
        <w:tc>
          <w:tcPr>
            <w:tcW w:w="1464" w:type="dxa"/>
          </w:tcPr>
          <w:p>
            <w:pPr/>
            <w:r>
              <w:t xml:space="preserve">Required or conditional</w:t>
            </w:r>
          </w:p>
        </w:tc>
        <w:tc>
          <w:tcPr>
            <w:tcW w:w="1718" w:type="dxa"/>
          </w:tcPr>
          <w:p>
            <w:pPr/>
            <w:r>
              <w:t xml:space="preserve">SIEM security-event correlation tier; retained independently of diagnostic sampling</w:t>
            </w:r>
          </w:p>
        </w:tc>
      </w:tr>
      <w:tr>
        <w:tc>
          <w:tcPr>
            <w:tcW w:w="1424" w:type="dxa"/>
          </w:tcPr>
          <w:p>
            <w:pPr/>
            <w:r>
              <w:t xml:space="preserve">Internal (identifiers and digests)</w:t>
            </w:r>
          </w:p>
        </w:tc>
        <w:tc>
          <w:tcPr>
            <w:tcW w:w="4754" w:type="dxa"/>
          </w:tcPr>
          <w:p>
            <w:pPr/>
            <w:r>
              <w:t xml:space="preserve">gen_ai.request.model and request parameters, token-usage counters; input.fingerprint; request.tenant; content.lineage_id / source_scope / destination_scope; index.manifest_digest; memory.record_ref; prompt.template_digest, context.token_budget; policy.digest; action.fingerprint; all credential.* fields; extension.digest; delegation.scope; manifest.digest, registry.release_id; host.name, source.ip, destination.ip, url.domain</w:t>
            </w:r>
          </w:p>
        </w:tc>
        <w:tc>
          <w:tcPr>
            <w:tcW w:w="1464" w:type="dxa"/>
          </w:tcPr>
          <w:p>
            <w:pPr/>
            <w:r>
              <w:t xml:space="preserve">Conditional</w:t>
            </w:r>
          </w:p>
        </w:tc>
        <w:tc>
          <w:tcPr>
            <w:tcW w:w="1718" w:type="dxa"/>
          </w:tcPr>
          <w:p>
            <w:pPr/>
            <w:r>
              <w:t xml:space="preserve">Metadata traces with analyst access controls; joined to the SIEM tier by trace.id and task.id</w:t>
            </w:r>
          </w:p>
        </w:tc>
      </w:tr>
      <w:tr>
        <w:tc>
          <w:tcPr>
            <w:tcW w:w="1424" w:type="dxa"/>
          </w:tcPr>
          <w:p>
            <w:pPr/>
            <w:r>
              <w:t xml:space="preserve">Restricted (content and people)</w:t>
            </w:r>
          </w:p>
        </w:tc>
        <w:tc>
          <w:tcPr>
            <w:tcW w:w="4754" w:type="dxa"/>
          </w:tcPr>
          <w:p>
            <w:pPr/>
            <w:r>
              <w:t xml:space="preserve">gen_ai.input.messages, gen_ai.output.messages, gen_ai.system_instructions, gen_ai.tool.call.arguments, gen_ai.tool.call.result, event.original, user.id; request.subject_ref; retrieval.result_count, retrieval.result_tenant; evidence.artifact_uri; approver.reference, oversight.reviewer_ref</w:t>
            </w:r>
          </w:p>
        </w:tc>
        <w:tc>
          <w:tcPr>
            <w:tcW w:w="1464" w:type="dxa"/>
          </w:tcPr>
          <w:p>
            <w:pPr/>
            <w:r>
              <w:t xml:space="preserve">Optional or conditional, by approved purpose only</w:t>
            </w:r>
          </w:p>
        </w:tc>
        <w:tc>
          <w:tcPr>
            <w:tcW w:w="1718" w:type="dxa"/>
          </w:tcPr>
          <w:p>
            <w:pPr/>
            <w:r>
              <w:t xml:space="preserve">Restricted content store; never into general alerts; lead R10 fires when a prohibited field arrives in an evidence destination</w:t>
            </w:r>
          </w:p>
        </w:tc>
      </w:tr>
    </w:tbl>
    <w:p>
      <w:pPr/>
      <w:r>
        <w:t xml:space="preserve">Two cautions apply to any MDR or AI-DDR service built on this contract. Reporting is not enforcement: OpenTelemetry supplies observations and conventions, not an authorisation engine or an immutable archive, so the gate, dispatcher, ledger and registry must exist as independent producers before any rule above means anything. And the practical_trust.* operations and attributes are the reference model's proposal for organisation-specific control and lifecycle context; the implementation pins the exact OpenTelemetry schema and instrumentation version, maps to ECS and OCSF explicitly, and records the mapping version with the rules.</w:t>
      </w:r>
    </w:p>
    <w:p>
      <w:pPr>
        <w:pStyle w:val="Heading2"/>
      </w:pPr>
      <w:r>
        <w:t xml:space="preserve">Sources</w:t>
      </w:r>
    </w:p>
    <w:p>
      <w:pPr>
        <w:pStyle w:val="ListParagraph"/>
        <w:numPr>
          <w:ilvl w:val="0"/>
          <w:numId w:val="2"/>
        </w:numPr>
      </w:pPr>
      <w:r>
        <w:t xml:space="preserve">DavisAIgov AI Harness Reference Model v13.5.1, 26 October 2026 (reference model, ai-harness.zip): Inter-Agentic Threat Map v13.4, sections 02 (six planes), 03 (component exploitation map, 19 rows), 03b (Elastic Security / OTel GenAI rulebook, HB-AI-600 to HB-AI-618), 03d (field data dictionary, 206 fields with namespace, type, producer, privacy and collection level), 04b (AI-DDR workflow); AI Harness telemetry and lifecycle evidence note, reviewed 15 October 2026 (eight-stage lifecycle, evidence design, twelve investigation leads R1 to R12, limits and corrections); AI Harness Ecosystem per-component telemetry notes</w:t>
      </w:r>
    </w:p>
    <w:p>
      <w:pPr>
        <w:pStyle w:val="ListParagraph"/>
        <w:numPr>
          <w:ilvl w:val="0"/>
          <w:numId w:val="2"/>
        </w:numPr>
      </w:pPr>
      <w:r>
        <w:t xml:space="preserve">OpenTelemetry GenAI semantic conventions: client spans, agent spans and the gen_ai.evaluation.result event, all in development status as checked by the reference model in October 2026</w:t>
      </w:r>
    </w:p>
    <w:p>
      <w:pPr>
        <w:pStyle w:val="ListParagraph"/>
        <w:numPr>
          <w:ilvl w:val="0"/>
          <w:numId w:val="2"/>
        </w:numPr>
      </w:pPr>
      <w:r>
        <w:t xml:space="preserve">MITRE ATLAS technique catalogue (through AML.T0134, accessed October 2026); OWASP Top 10 for Agentic Applications 2026 (ASI01 to ASI10) and OWASP Top 10 for LLM Applications 2025 (LLM01 to LLM10)</w:t>
      </w:r>
    </w:p>
    <w:p>
      <w:pPr>
        <w:pStyle w:val="ListParagraph"/>
        <w:numPr>
          <w:ilvl w:val="0"/>
          <w:numId w:val="2"/>
        </w:numPr>
      </w:pPr>
      <w:r>
        <w:t xml:space="preserve">Elastic Common Schema and Open Cybersecurity Schema Framework, as the reference model's two normalisation targets</w:t>
      </w:r>
    </w:p>
    <w:p>
      <w:pPr/>
      <w:r>
        <w:t xml:space="preserve">Technique and risk-class identifiers are reproduced as the reference model assigns them; they classify a propagation path and are not proof that a given attack occurred.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AI Harness Telemetry to SIEM</dc:title>
  <dc:description>Claude Docs node/bfa6a55a-b421@5 docx-w7</dc:description>
  <cp:revision>5</cp:revision>
</cp:coreProperties>
</file>